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试验设备维护放行审查需求规格说明</w:t>
      </w:r>
    </w:p>
    <w:p>
      <w:r>
        <w:t>版本：1.0</w:t>
      </w:r>
    </w:p>
    <w:p>
      <w:pPr>
        <w:pStyle w:val="Heading1"/>
      </w:pPr>
      <w:r>
        <w:t>背景与目标</w:t>
      </w:r>
    </w:p>
    <w:p>
      <w:r>
        <w:t>对试验台设备维护后的放行申请进行签核完整性、校准有效期和未关闭缺陷审查，输出可追溯决定</w:t>
      </w:r>
    </w:p>
    <w:p>
      <w:r>
        <w:t>本文描述预期行为和验收口径，作为实现与验证的输入</w:t>
      </w:r>
    </w:p>
    <w:p>
      <w:pPr>
        <w:pStyle w:val="Heading1"/>
      </w:pPr>
      <w:r>
        <w:t>业务边界</w:t>
      </w:r>
    </w:p>
    <w:p>
      <w:r>
        <w:t>该系统用于试验、保障和状态监测，不承担飞行控制、武器控制或实时安全闭环决策。输入数据可能缺失、乱序或损坏，系统必须给出可追溯的拒收或降级结果</w:t>
      </w:r>
    </w:p>
    <w:p>
      <w:pPr>
        <w:pStyle w:val="Heading1"/>
      </w:pPr>
      <w:r>
        <w:t>功能需求</w:t>
      </w:r>
    </w:p>
    <w:p>
      <w:pPr>
        <w:keepLines/>
        <w:spacing w:after="80"/>
      </w:pPr>
      <w:r>
        <w:rPr>
          <w:b/>
          <w:color w:val="21446E"/>
        </w:rPr>
        <w:t xml:space="preserve">REQ-JAVAMAINTENANCERELEASE-01  </w:t>
      </w:r>
      <w:r>
        <w:t>申请缺少设备编号或申请人时应拒绝</w:t>
      </w:r>
    </w:p>
    <w:p>
      <w:pPr>
        <w:keepLines/>
        <w:spacing w:after="80"/>
      </w:pPr>
      <w:r>
        <w:rPr>
          <w:b/>
          <w:color w:val="21446E"/>
        </w:rPr>
        <w:t xml:space="preserve">REQ-JAVAMAINTENANCERELEASE-02  </w:t>
      </w:r>
      <w:r>
        <w:t>校准到期或日期晚于审查日时应拒绝</w:t>
      </w:r>
    </w:p>
    <w:p>
      <w:pPr>
        <w:keepLines/>
        <w:spacing w:after="80"/>
      </w:pPr>
      <w:r>
        <w:rPr>
          <w:b/>
          <w:color w:val="21446E"/>
        </w:rPr>
        <w:t xml:space="preserve">REQ-JAVAMAINTENANCERELEASE-03  </w:t>
      </w:r>
      <w:r>
        <w:t>关键缺陷未关闭时应拒绝</w:t>
      </w:r>
    </w:p>
    <w:p>
      <w:pPr>
        <w:keepLines/>
        <w:spacing w:after="80"/>
      </w:pPr>
      <w:r>
        <w:rPr>
          <w:b/>
          <w:color w:val="21446E"/>
        </w:rPr>
        <w:t xml:space="preserve">REQ-JAVAMAINTENANCERELEASE-04  </w:t>
      </w:r>
      <w:r>
        <w:t>维护人和复核人不得为同一人</w:t>
      </w:r>
    </w:p>
    <w:p>
      <w:pPr>
        <w:keepLines/>
        <w:spacing w:after="80"/>
      </w:pPr>
      <w:r>
        <w:rPr>
          <w:b/>
          <w:color w:val="21446E"/>
        </w:rPr>
        <w:t xml:space="preserve">REQ-JAVAMAINTENANCERELEASE-05  </w:t>
      </w:r>
      <w:r>
        <w:t>符合全部约束时才能批准</w:t>
      </w:r>
    </w:p>
    <w:p>
      <w:pPr>
        <w:keepLines/>
        <w:spacing w:after="80"/>
      </w:pPr>
      <w:r>
        <w:rPr>
          <w:b/>
          <w:color w:val="21446E"/>
        </w:rPr>
        <w:t xml:space="preserve">REQ-JAVAMAINTENANCERELEASE-06  </w:t>
      </w:r>
      <w:r>
        <w:t>多个不符合项应一并返回，且顺序稳定</w:t>
      </w:r>
    </w:p>
    <w:p>
      <w:pPr>
        <w:pStyle w:val="Heading1"/>
      </w:pPr>
      <w:r>
        <w:t>非功能需求</w:t>
      </w:r>
    </w:p>
    <w:p>
      <w:pPr>
        <w:pStyle w:val="ListBullet"/>
      </w:pPr>
      <w:r>
        <w:t>同一输入应产生确定性结果</w:t>
      </w:r>
    </w:p>
    <w:p>
      <w:pPr>
        <w:pStyle w:val="ListBullet"/>
      </w:pPr>
      <w:r>
        <w:t>异常输入不得造成越界访问或静默接受</w:t>
      </w:r>
    </w:p>
    <w:p>
      <w:pPr>
        <w:pStyle w:val="ListBullet"/>
      </w:pPr>
      <w:r>
        <w:t>输出应包含足以追溯原始输入和判定原因的信息</w:t>
      </w:r>
    </w:p>
    <w:p>
      <w:pPr>
        <w:pStyle w:val="ListBullet"/>
      </w:pPr>
      <w:r>
        <w:t>小规模离线环境可独立运行，不依赖网络服务</w:t>
      </w:r>
    </w:p>
    <w:p>
      <w:pPr>
        <w:pStyle w:val="Heading1"/>
      </w:pPr>
      <w:r>
        <w:t>验收准则</w:t>
      </w:r>
    </w:p>
    <w:p>
      <w:r>
        <w:t>准备合格申请与同时包含校准过期、未关闭缺陷、同人复核的申请；合格申请批准，异常申请返回三条可核对原因</w:t>
      </w:r>
    </w:p>
    <w:sectPr w:rsidR="00FC693F" w:rsidRPr="0006063C" w:rsidSect="00034616">
      <w:footerReference w:type="default" r:id="rId9"/>
      <w:pgSz w:w="12240" w:h="15840"/>
      <w:pgMar w:top="979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试验用需求规格说明  ·  版本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8" w:lineRule="auto"/>
    </w:pPr>
    <w:rPr>
      <w:rFonts w:ascii="Microsoft YaHei" w:hAnsi="Microsoft YaHei"/>
      <w:color w:val="1E27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Microsoft YaHei" w:hAnsi="Microsoft YaHe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